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647D2F5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Библиография и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References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.</w:t>
      </w: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4025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>References – англоязычный список литературы, который идет отдельным блоком, повторяя русскоязычный список литературы.</w:t>
      </w:r>
    </w:p>
    <w:p w14:paraId="57E72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0A409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>В соответствии с положениями ГОСТ Р 7.0.100-2018, а также ответом экспертов</w:t>
      </w:r>
      <w:r>
        <w:rPr>
          <w:rStyle w:val="5"/>
          <w:rFonts w:hint="default" w:ascii="Courier New" w:hAnsi="Courier New" w:eastAsia="SimSun" w:cs="Courier New"/>
          <w:sz w:val="24"/>
          <w:szCs w:val="24"/>
          <w:lang w:val="ru-RU"/>
        </w:rPr>
        <w:footnoteReference w:id="0"/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 в электронной библиографической записи сведения приводятся:</w:t>
      </w:r>
    </w:p>
    <w:p w14:paraId="5C90D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0CA5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29E8D36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1487BF97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ПРИМЕРЫ:</w:t>
      </w:r>
    </w:p>
    <w:p w14:paraId="6B1D47EF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0A6ACF6A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bCs/>
          <w:sz w:val="24"/>
          <w:szCs w:val="24"/>
          <w:highlight w:val="none"/>
          <w:lang w:val="en-US" w:eastAsia="ru-RU"/>
        </w:rPr>
      </w:pPr>
      <w:r>
        <w:rPr>
          <w:rFonts w:ascii="Courier New" w:hAnsi="Courier New" w:eastAsia="Times New Roman" w:cs="Courier New"/>
          <w:b/>
          <w:bCs/>
          <w:sz w:val="24"/>
          <w:szCs w:val="24"/>
          <w:lang w:eastAsia="ru-RU"/>
        </w:rPr>
        <w:t>Библиография</w:t>
      </w:r>
      <w:r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  <w:t xml:space="preserve"> в списке не просчитана:</w:t>
      </w:r>
    </w:p>
    <w:p w14:paraId="138ADC48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24ECF280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320 ##$a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Библиография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: с. 102-104 (русская), с. 104-106 (английская)</w:t>
      </w:r>
    </w:p>
    <w:p w14:paraId="61BF5EBF">
      <w:pPr>
        <w:spacing w:after="0" w:line="240" w:lineRule="auto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7A5B9B78">
      <w:pPr>
        <w:spacing w:after="0" w:line="240" w:lineRule="auto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132DC490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bCs/>
          <w:sz w:val="24"/>
          <w:szCs w:val="24"/>
          <w:highlight w:val="none"/>
          <w:lang w:val="en-US" w:eastAsia="ru-RU"/>
        </w:rPr>
      </w:pPr>
      <w:r>
        <w:rPr>
          <w:rFonts w:ascii="Courier New" w:hAnsi="Courier New" w:eastAsia="Times New Roman" w:cs="Courier New"/>
          <w:b/>
          <w:bCs/>
          <w:sz w:val="24"/>
          <w:szCs w:val="24"/>
          <w:lang w:eastAsia="ru-RU"/>
        </w:rPr>
        <w:t>Библиография</w:t>
      </w:r>
      <w:r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  <w:t xml:space="preserve"> в списке просчитана:</w:t>
      </w:r>
    </w:p>
    <w:p w14:paraId="57CC3AF7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4747D21F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320 ##$a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Библиография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: с. 102-104 (80 названий, русская), с. 104-106 (80 названий, английская)</w:t>
      </w:r>
    </w:p>
    <w:p w14:paraId="7FCEC7ED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3BEDE452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485CB641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bCs/>
          <w:sz w:val="24"/>
          <w:szCs w:val="24"/>
          <w:highlight w:val="none"/>
          <w:lang w:val="en-US" w:eastAsia="ru-RU"/>
        </w:rPr>
      </w:pPr>
      <w:r>
        <w:rPr>
          <w:rFonts w:ascii="Courier New" w:hAnsi="Courier New" w:eastAsia="Times New Roman" w:cs="Courier New"/>
          <w:b/>
          <w:bCs/>
          <w:sz w:val="24"/>
          <w:szCs w:val="24"/>
          <w:lang w:eastAsia="ru-RU"/>
        </w:rPr>
        <w:t>Библиография</w:t>
      </w:r>
      <w:r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  <w:t xml:space="preserve"> в списке не просчитана, оба списка указаны на одной странице</w:t>
      </w:r>
      <w:bookmarkStart w:id="0" w:name="_GoBack"/>
      <w:bookmarkEnd w:id="0"/>
      <w:r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  <w:t>:</w:t>
      </w:r>
    </w:p>
    <w:p w14:paraId="5E794EC7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25F2A03F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320 ##$a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Библиография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: с. 102 (русская, английская)</w:t>
      </w:r>
    </w:p>
    <w:p w14:paraId="33C2E2D6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6F78D8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BE60F87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bCs/>
          <w:sz w:val="24"/>
          <w:szCs w:val="24"/>
          <w:highlight w:val="none"/>
          <w:lang w:val="en-US" w:eastAsia="ru-RU"/>
        </w:rPr>
      </w:pPr>
      <w:r>
        <w:rPr>
          <w:rFonts w:ascii="Courier New" w:hAnsi="Courier New" w:eastAsia="Times New Roman" w:cs="Courier New"/>
          <w:b/>
          <w:bCs/>
          <w:sz w:val="24"/>
          <w:szCs w:val="24"/>
          <w:lang w:eastAsia="ru-RU"/>
        </w:rPr>
        <w:t>Библиография</w:t>
      </w:r>
      <w:r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  <w:t xml:space="preserve"> в списке просчитана:</w:t>
      </w:r>
    </w:p>
    <w:p w14:paraId="0973508B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2E45484C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320 ##$a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Библиография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: с. 102 (15 названий, русская, английская)</w:t>
      </w:r>
    </w:p>
    <w:p w14:paraId="677713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73D4A425">
      <w:pPr>
        <w:pStyle w:val="8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Ответ</w:t>
      </w:r>
      <w:r>
        <w:rPr>
          <w:rFonts w:hint="default"/>
          <w:lang w:val="ru-RU"/>
        </w:rPr>
        <w:t xml:space="preserve"> экспертов на форуме Либнет: от 9 ноября 2023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а</w:t>
                  </w:r>
                  <w:r>
                    <w:rPr>
                      <w:b/>
                      <w:sz w:val="14"/>
                      <w:lang w:val="ru-RU"/>
                    </w:rPr>
                    <w:t>вгуст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2024,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4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37882"/>
    <w:multiLevelType w:val="singleLevel"/>
    <w:tmpl w:val="3323788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464785E"/>
    <w:rsid w:val="177969FE"/>
    <w:rsid w:val="2ADE5363"/>
    <w:rsid w:val="2D6A2D98"/>
    <w:rsid w:val="340B3B7A"/>
    <w:rsid w:val="38E627E6"/>
    <w:rsid w:val="3EFA6ABC"/>
    <w:rsid w:val="3F7C2875"/>
    <w:rsid w:val="41D35C22"/>
    <w:rsid w:val="6F007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2258</Words>
  <Characters>12872</Characters>
  <Lines>107</Lines>
  <Paragraphs>30</Paragraphs>
  <TotalTime>11</TotalTime>
  <ScaleCrop>false</ScaleCrop>
  <LinksUpToDate>false</LinksUpToDate>
  <CharactersWithSpaces>15100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2024-08-30T12:03:00Z</cp:lastPrinted>
  <dcterms:modified xsi:type="dcterms:W3CDTF">2024-08-30T12:44:13Z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8B60FDD3225546D1B4171095B06BEBCA</vt:lpwstr>
  </property>
</Properties>
</file>